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50" w:rsidRPr="00727650" w:rsidRDefault="00727650" w:rsidP="00727650">
      <w:pPr>
        <w:widowControl w:val="0"/>
        <w:autoSpaceDE w:val="0"/>
        <w:autoSpaceDN w:val="0"/>
        <w:adjustRightInd w:val="0"/>
        <w:jc w:val="center"/>
        <w:rPr>
          <w:rFonts w:ascii="Garamond" w:hAnsi="Garamond" w:cs="Arial"/>
        </w:rPr>
      </w:pPr>
      <w:r>
        <w:rPr>
          <w:rFonts w:ascii="Garamond" w:hAnsi="Garamond" w:cs="Arial"/>
          <w:color w:val="464646"/>
        </w:rPr>
        <w:t>Rest C</w:t>
      </w:r>
      <w:r w:rsidRPr="00727650">
        <w:rPr>
          <w:rFonts w:ascii="Garamond" w:hAnsi="Garamond" w:cs="Arial"/>
          <w:color w:val="464646"/>
        </w:rPr>
        <w:t>ure</w:t>
      </w:r>
    </w:p>
    <w:p w:rsidR="00727650" w:rsidRDefault="00727650" w:rsidP="00727650">
      <w:pPr>
        <w:widowControl w:val="0"/>
        <w:autoSpaceDE w:val="0"/>
        <w:autoSpaceDN w:val="0"/>
        <w:adjustRightInd w:val="0"/>
        <w:jc w:val="center"/>
        <w:rPr>
          <w:rFonts w:ascii="Garamond" w:hAnsi="Garamond" w:cs="Arial"/>
          <w:i/>
          <w:iCs/>
          <w:sz w:val="25"/>
          <w:szCs w:val="25"/>
        </w:rPr>
      </w:pPr>
      <w:r w:rsidRPr="00727650">
        <w:rPr>
          <w:rFonts w:ascii="Garamond" w:hAnsi="Garamond" w:cs="Arial"/>
          <w:noProof/>
          <w:color w:val="464646"/>
          <w:sz w:val="23"/>
          <w:szCs w:val="23"/>
        </w:rPr>
        <w:drawing>
          <wp:inline distT="0" distB="0" distL="0" distR="0" wp14:anchorId="4C81569D" wp14:editId="18E4A146">
            <wp:extent cx="1587500" cy="2086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2086429"/>
                    </a:xfrm>
                    <a:prstGeom prst="rect">
                      <a:avLst/>
                    </a:prstGeom>
                    <a:noFill/>
                    <a:ln>
                      <a:noFill/>
                    </a:ln>
                  </pic:spPr>
                </pic:pic>
              </a:graphicData>
            </a:graphic>
          </wp:inline>
        </w:drawing>
      </w:r>
    </w:p>
    <w:p w:rsidR="00727650" w:rsidRPr="00727650" w:rsidRDefault="00727650" w:rsidP="00727650">
      <w:pPr>
        <w:widowControl w:val="0"/>
        <w:autoSpaceDE w:val="0"/>
        <w:autoSpaceDN w:val="0"/>
        <w:adjustRightInd w:val="0"/>
        <w:jc w:val="center"/>
        <w:rPr>
          <w:rFonts w:ascii="Garamond" w:hAnsi="Garamond" w:cs="Arial"/>
          <w:i/>
          <w:iCs/>
          <w:sz w:val="25"/>
          <w:szCs w:val="25"/>
        </w:rPr>
      </w:pPr>
    </w:p>
    <w:p w:rsidR="00727650" w:rsidRPr="00727650" w:rsidRDefault="00727650" w:rsidP="00727650">
      <w:pPr>
        <w:widowControl w:val="0"/>
        <w:autoSpaceDE w:val="0"/>
        <w:autoSpaceDN w:val="0"/>
        <w:adjustRightInd w:val="0"/>
        <w:jc w:val="center"/>
        <w:rPr>
          <w:rFonts w:ascii="Garamond" w:hAnsi="Garamond" w:cs="Arial"/>
          <w:i/>
          <w:iCs/>
        </w:rPr>
      </w:pPr>
      <w:r w:rsidRPr="00727650">
        <w:rPr>
          <w:rFonts w:ascii="Garamond" w:hAnsi="Garamond" w:cs="Arial"/>
          <w:i/>
          <w:iCs/>
          <w:color w:val="464646"/>
        </w:rPr>
        <w:t xml:space="preserve">Silas Weir Mitchel, </w:t>
      </w:r>
      <w:proofErr w:type="gramStart"/>
      <w:r w:rsidRPr="00727650">
        <w:rPr>
          <w:rFonts w:ascii="Garamond" w:hAnsi="Garamond" w:cs="Arial"/>
          <w:i/>
          <w:iCs/>
          <w:color w:val="464646"/>
        </w:rPr>
        <w:t>inventor of the rest cure</w:t>
      </w:r>
      <w:proofErr w:type="gramEnd"/>
      <w:r w:rsidRPr="00727650">
        <w:rPr>
          <w:rFonts w:ascii="Garamond" w:hAnsi="Garamond" w:cs="Arial"/>
          <w:i/>
          <w:iCs/>
          <w:color w:val="464646"/>
        </w:rPr>
        <w:t>.</w:t>
      </w:r>
    </w:p>
    <w:p w:rsidR="00727650" w:rsidRPr="00727650" w:rsidRDefault="00727650" w:rsidP="00727650">
      <w:pPr>
        <w:widowControl w:val="0"/>
        <w:autoSpaceDE w:val="0"/>
        <w:autoSpaceDN w:val="0"/>
        <w:adjustRightInd w:val="0"/>
        <w:jc w:val="center"/>
        <w:rPr>
          <w:rFonts w:ascii="Garamond" w:hAnsi="Garamond" w:cs="Arial"/>
          <w:i/>
          <w:iCs/>
        </w:rPr>
      </w:pPr>
      <w:hyperlink r:id="rId7" w:history="1">
        <w:proofErr w:type="spellStart"/>
        <w:r w:rsidRPr="00727650">
          <w:rPr>
            <w:rFonts w:ascii="Garamond" w:hAnsi="Garamond" w:cs="Arial"/>
            <w:i/>
            <w:iCs/>
            <w:color w:val="1B6880"/>
            <w:u w:val="single" w:color="1B6880"/>
          </w:rPr>
          <w:t>Wellcome</w:t>
        </w:r>
        <w:proofErr w:type="spellEnd"/>
        <w:r w:rsidRPr="00727650">
          <w:rPr>
            <w:rFonts w:ascii="Garamond" w:hAnsi="Garamond" w:cs="Arial"/>
            <w:i/>
            <w:iCs/>
            <w:color w:val="1B6880"/>
            <w:u w:val="single" w:color="1B6880"/>
          </w:rPr>
          <w:t xml:space="preserve"> Library, London</w:t>
        </w:r>
      </w:hyperlink>
    </w:p>
    <w:p w:rsidR="00727650" w:rsidRPr="00727650" w:rsidRDefault="00727650" w:rsidP="00727650">
      <w:pPr>
        <w:widowControl w:val="0"/>
        <w:autoSpaceDE w:val="0"/>
        <w:autoSpaceDN w:val="0"/>
        <w:adjustRightInd w:val="0"/>
        <w:rPr>
          <w:rFonts w:ascii="Garamond" w:hAnsi="Garamond" w:cs="Arial"/>
          <w:color w:val="464646"/>
          <w:u w:val="single" w:color="464646"/>
        </w:rPr>
      </w:pPr>
    </w:p>
    <w:p w:rsidR="00727650" w:rsidRPr="00727650" w:rsidRDefault="00727650" w:rsidP="00727650">
      <w:pPr>
        <w:widowControl w:val="0"/>
        <w:autoSpaceDE w:val="0"/>
        <w:autoSpaceDN w:val="0"/>
        <w:adjustRightInd w:val="0"/>
        <w:rPr>
          <w:rFonts w:ascii="Garamond" w:hAnsi="Garamond" w:cs="Arial"/>
          <w:color w:val="464646"/>
          <w:u w:color="1B6880"/>
        </w:rPr>
      </w:pPr>
      <w:r w:rsidRPr="00727650">
        <w:rPr>
          <w:rFonts w:ascii="Garamond" w:hAnsi="Garamond" w:cs="Arial"/>
          <w:color w:val="464646"/>
          <w:u w:color="464646"/>
        </w:rPr>
        <w:t>Influential American </w:t>
      </w:r>
      <w:r w:rsidRPr="00727650">
        <w:rPr>
          <w:rFonts w:ascii="Garamond" w:hAnsi="Garamond" w:cs="Arial"/>
          <w:i/>
          <w:iCs/>
          <w:color w:val="1B6880"/>
          <w:u w:val="single" w:color="1B6880"/>
        </w:rPr>
        <w:t>neurologist</w:t>
      </w:r>
      <w:r w:rsidRPr="00727650">
        <w:rPr>
          <w:rFonts w:ascii="Garamond" w:hAnsi="Garamond" w:cs="Arial"/>
          <w:color w:val="464646"/>
          <w:u w:color="1B6880"/>
        </w:rPr>
        <w:t xml:space="preserve"> Silas Weir Mitchell developed the rest cure in the late 1800s for the treatment of </w:t>
      </w:r>
      <w:hyperlink r:id="rId8" w:history="1">
        <w:r w:rsidRPr="00727650">
          <w:rPr>
            <w:rFonts w:ascii="Garamond" w:hAnsi="Garamond" w:cs="Arial"/>
            <w:i/>
            <w:iCs/>
            <w:color w:val="1B6880"/>
            <w:u w:val="single" w:color="1B6880"/>
          </w:rPr>
          <w:t>hysteria</w:t>
        </w:r>
      </w:hyperlink>
      <w:r w:rsidRPr="00727650">
        <w:rPr>
          <w:rFonts w:ascii="Garamond" w:hAnsi="Garamond" w:cs="Arial"/>
          <w:color w:val="464646"/>
          <w:u w:color="1B6880"/>
        </w:rPr>
        <w:t xml:space="preserve">, </w:t>
      </w:r>
      <w:hyperlink r:id="rId9" w:history="1">
        <w:r w:rsidRPr="00727650">
          <w:rPr>
            <w:rFonts w:ascii="Garamond" w:hAnsi="Garamond" w:cs="Arial"/>
            <w:i/>
            <w:iCs/>
            <w:color w:val="1B6880"/>
            <w:u w:val="single" w:color="1B6880"/>
          </w:rPr>
          <w:t>neurasthenia</w:t>
        </w:r>
      </w:hyperlink>
      <w:r w:rsidRPr="00727650">
        <w:rPr>
          <w:rFonts w:ascii="Garamond" w:hAnsi="Garamond" w:cs="Arial"/>
          <w:color w:val="464646"/>
          <w:u w:color="1B6880"/>
        </w:rPr>
        <w:t xml:space="preserve"> and other nervous illnesses. It became widely used in the US and UK, but was prescribed more often for women than men. It was frequently used to treat </w:t>
      </w:r>
      <w:r w:rsidRPr="00727650">
        <w:rPr>
          <w:rFonts w:ascii="Garamond" w:hAnsi="Garamond" w:cs="Arial"/>
          <w:i/>
          <w:iCs/>
          <w:color w:val="1B6880"/>
          <w:u w:val="single" w:color="1B6880"/>
        </w:rPr>
        <w:t>anorexia nervosa</w:t>
      </w:r>
      <w:r w:rsidRPr="00727650">
        <w:rPr>
          <w:rFonts w:ascii="Garamond" w:hAnsi="Garamond" w:cs="Arial"/>
          <w:color w:val="464646"/>
          <w:u w:color="1B6880"/>
        </w:rPr>
        <w:t xml:space="preserve">. The treatment </w:t>
      </w:r>
      <w:r>
        <w:rPr>
          <w:rFonts w:ascii="Garamond" w:hAnsi="Garamond" w:cs="Arial"/>
          <w:color w:val="464646"/>
          <w:u w:color="1B6880"/>
        </w:rPr>
        <w:t>did keep</w:t>
      </w:r>
      <w:bookmarkStart w:id="0" w:name="_GoBack"/>
      <w:bookmarkEnd w:id="0"/>
      <w:r w:rsidRPr="00727650">
        <w:rPr>
          <w:rFonts w:ascii="Garamond" w:hAnsi="Garamond" w:cs="Arial"/>
          <w:color w:val="464646"/>
          <w:u w:color="1B6880"/>
        </w:rPr>
        <w:t xml:space="preserve"> some patients alive and others out of </w:t>
      </w:r>
      <w:hyperlink r:id="rId10" w:history="1">
        <w:r w:rsidRPr="00727650">
          <w:rPr>
            <w:rFonts w:ascii="Garamond" w:hAnsi="Garamond" w:cs="Arial"/>
            <w:i/>
            <w:iCs/>
            <w:color w:val="1B6880"/>
            <w:u w:val="single" w:color="1B6880"/>
          </w:rPr>
          <w:t>asylums</w:t>
        </w:r>
      </w:hyperlink>
      <w:r w:rsidRPr="00727650">
        <w:rPr>
          <w:rFonts w:ascii="Garamond" w:hAnsi="Garamond" w:cs="Arial"/>
          <w:color w:val="464646"/>
          <w:u w:color="1B6880"/>
        </w:rPr>
        <w:t>, though some patients and doctors considered the cure worse than the disease.</w:t>
      </w:r>
    </w:p>
    <w:p w:rsidR="00727650" w:rsidRPr="00727650" w:rsidRDefault="00727650" w:rsidP="00727650">
      <w:pPr>
        <w:widowControl w:val="0"/>
        <w:autoSpaceDE w:val="0"/>
        <w:autoSpaceDN w:val="0"/>
        <w:adjustRightInd w:val="0"/>
        <w:rPr>
          <w:rFonts w:ascii="Garamond" w:hAnsi="Garamond" w:cs="Arial"/>
          <w:color w:val="464646"/>
          <w:u w:color="1B6880"/>
        </w:rPr>
      </w:pPr>
    </w:p>
    <w:p w:rsidR="00727650" w:rsidRPr="00727650" w:rsidRDefault="00727650" w:rsidP="00727650">
      <w:pPr>
        <w:widowControl w:val="0"/>
        <w:autoSpaceDE w:val="0"/>
        <w:autoSpaceDN w:val="0"/>
        <w:adjustRightInd w:val="0"/>
        <w:rPr>
          <w:rFonts w:ascii="Garamond" w:hAnsi="Garamond" w:cs="Arial"/>
          <w:color w:val="464646"/>
          <w:u w:color="1B6880"/>
        </w:rPr>
      </w:pPr>
      <w:r w:rsidRPr="00727650">
        <w:rPr>
          <w:rFonts w:ascii="Garamond" w:hAnsi="Garamond" w:cs="Arial"/>
          <w:color w:val="464646"/>
          <w:u w:color="1B6880"/>
        </w:rPr>
        <w:t xml:space="preserve">The rest cure usually lasted six to eight weeks. It involved isolation from friends and family. It also enforced bed rest, and nearly constant feeding on a fatty, milk-based diet. Patients were force-fed if necessary - effectively reduced to the dependency of an infant. Nurses cleaned and fed them, and turned them over in bed. Doctors used massage and </w:t>
      </w:r>
      <w:hyperlink r:id="rId11" w:history="1">
        <w:r w:rsidRPr="00727650">
          <w:rPr>
            <w:rFonts w:ascii="Garamond" w:hAnsi="Garamond" w:cs="Arial"/>
            <w:i/>
            <w:iCs/>
            <w:color w:val="1B6880"/>
            <w:u w:val="single" w:color="1B6880"/>
          </w:rPr>
          <w:t>electrotherapy</w:t>
        </w:r>
      </w:hyperlink>
      <w:r w:rsidRPr="00727650">
        <w:rPr>
          <w:rFonts w:ascii="Garamond" w:hAnsi="Garamond" w:cs="Arial"/>
          <w:color w:val="464646"/>
          <w:u w:color="1B6880"/>
        </w:rPr>
        <w:t xml:space="preserve"> to maintain muscle tone. Patients were sometimes prohibited from talking, reading, writing and even sewing.</w:t>
      </w:r>
    </w:p>
    <w:p w:rsidR="00727650" w:rsidRPr="00727650" w:rsidRDefault="00727650" w:rsidP="00727650">
      <w:pPr>
        <w:widowControl w:val="0"/>
        <w:autoSpaceDE w:val="0"/>
        <w:autoSpaceDN w:val="0"/>
        <w:adjustRightInd w:val="0"/>
        <w:rPr>
          <w:rFonts w:ascii="Garamond" w:hAnsi="Garamond" w:cs="Arial"/>
          <w:color w:val="464646"/>
          <w:u w:color="1B6880"/>
        </w:rPr>
      </w:pPr>
    </w:p>
    <w:p w:rsidR="00727650" w:rsidRPr="00727650" w:rsidRDefault="00727650" w:rsidP="00727650">
      <w:pPr>
        <w:widowControl w:val="0"/>
        <w:autoSpaceDE w:val="0"/>
        <w:autoSpaceDN w:val="0"/>
        <w:adjustRightInd w:val="0"/>
        <w:rPr>
          <w:rFonts w:ascii="Garamond" w:hAnsi="Garamond" w:cs="Arial"/>
          <w:color w:val="464646"/>
          <w:u w:color="1B6880"/>
        </w:rPr>
      </w:pPr>
      <w:r w:rsidRPr="00727650">
        <w:rPr>
          <w:rFonts w:ascii="Garamond" w:hAnsi="Garamond" w:cs="Arial"/>
          <w:color w:val="464646"/>
          <w:u w:color="1B6880"/>
        </w:rPr>
        <w:t xml:space="preserve">Mitchell believed the point of the rest cure was physical and moral. It boosted the patient’s weight and increased blood supply. It also removed the patient from a potentially toxic social atmosphere at home. However, the implicit point was the neurologist breaking his (almost always female) patient’s will. Some outspoken and independent women received the rest cure. These included writers Virginia Woolf and </w:t>
      </w:r>
      <w:hyperlink r:id="rId12" w:history="1">
        <w:r w:rsidRPr="00727650">
          <w:rPr>
            <w:rFonts w:ascii="Garamond" w:hAnsi="Garamond" w:cs="Arial"/>
            <w:i/>
            <w:iCs/>
            <w:color w:val="1B6880"/>
            <w:u w:val="single" w:color="1B6880"/>
          </w:rPr>
          <w:t>Charlotte Perkins Gilman</w:t>
        </w:r>
      </w:hyperlink>
      <w:r w:rsidRPr="00727650">
        <w:rPr>
          <w:rFonts w:ascii="Garamond" w:hAnsi="Garamond" w:cs="Arial"/>
          <w:color w:val="464646"/>
          <w:u w:color="1B6880"/>
        </w:rPr>
        <w:t>. They reacted fiercely against t</w:t>
      </w:r>
      <w:r w:rsidRPr="00727650">
        <w:rPr>
          <w:rFonts w:ascii="Garamond" w:hAnsi="Garamond" w:cs="Arial"/>
          <w:color w:val="464646"/>
          <w:u w:color="1B6880"/>
        </w:rPr>
        <w:t>he treatment and doctors practic</w:t>
      </w:r>
      <w:r w:rsidRPr="00727650">
        <w:rPr>
          <w:rFonts w:ascii="Garamond" w:hAnsi="Garamond" w:cs="Arial"/>
          <w:color w:val="464646"/>
          <w:u w:color="1B6880"/>
        </w:rPr>
        <w:t>ing it, and wrote about the experience. Later feminist scholars argued the rest cure reinforced an archaic and oppressive notion that women should submit unquestioningly to male authority because it was good for their health.</w:t>
      </w:r>
    </w:p>
    <w:p w:rsidR="00727650" w:rsidRPr="00727650" w:rsidRDefault="00727650" w:rsidP="00727650">
      <w:pPr>
        <w:widowControl w:val="0"/>
        <w:autoSpaceDE w:val="0"/>
        <w:autoSpaceDN w:val="0"/>
        <w:adjustRightInd w:val="0"/>
        <w:rPr>
          <w:rFonts w:ascii="Garamond" w:hAnsi="Garamond" w:cs="Arial"/>
          <w:color w:val="464646"/>
          <w:u w:val="single" w:color="464646"/>
        </w:rPr>
      </w:pPr>
    </w:p>
    <w:p w:rsidR="00727650" w:rsidRDefault="00727650" w:rsidP="00727650">
      <w:pPr>
        <w:widowControl w:val="0"/>
        <w:autoSpaceDE w:val="0"/>
        <w:autoSpaceDN w:val="0"/>
        <w:adjustRightInd w:val="0"/>
        <w:rPr>
          <w:rFonts w:ascii="Garamond" w:hAnsi="Garamond" w:cs="Arial"/>
          <w:color w:val="464646"/>
          <w:u w:color="464646"/>
        </w:rPr>
      </w:pPr>
      <w:r w:rsidRPr="00727650">
        <w:rPr>
          <w:rFonts w:ascii="Garamond" w:hAnsi="Garamond" w:cs="Arial"/>
          <w:color w:val="464646"/>
          <w:u w:color="464646"/>
        </w:rPr>
        <w:t>Bibliography</w:t>
      </w:r>
    </w:p>
    <w:p w:rsidR="00727650" w:rsidRPr="00727650" w:rsidRDefault="00727650" w:rsidP="00727650">
      <w:pPr>
        <w:widowControl w:val="0"/>
        <w:autoSpaceDE w:val="0"/>
        <w:autoSpaceDN w:val="0"/>
        <w:adjustRightInd w:val="0"/>
        <w:rPr>
          <w:rFonts w:ascii="Garamond" w:hAnsi="Garamond" w:cs="Arial"/>
          <w:u w:color="464646"/>
        </w:rPr>
      </w:pPr>
    </w:p>
    <w:p w:rsidR="00727650" w:rsidRPr="00727650" w:rsidRDefault="00727650" w:rsidP="00727650">
      <w:pPr>
        <w:widowControl w:val="0"/>
        <w:autoSpaceDE w:val="0"/>
        <w:autoSpaceDN w:val="0"/>
        <w:adjustRightInd w:val="0"/>
        <w:ind w:left="450" w:hanging="450"/>
        <w:rPr>
          <w:rFonts w:ascii="Garamond" w:hAnsi="Garamond" w:cs="Arial"/>
          <w:color w:val="464646"/>
          <w:u w:color="464646"/>
        </w:rPr>
      </w:pPr>
      <w:r w:rsidRPr="00727650">
        <w:rPr>
          <w:rFonts w:ascii="Garamond" w:hAnsi="Garamond" w:cs="Arial"/>
          <w:color w:val="464646"/>
          <w:u w:color="464646"/>
        </w:rPr>
        <w:t xml:space="preserve">J Allen, </w:t>
      </w:r>
      <w:r w:rsidRPr="00727650">
        <w:rPr>
          <w:rFonts w:ascii="Garamond" w:hAnsi="Garamond" w:cs="Arial"/>
          <w:i/>
          <w:iCs/>
          <w:color w:val="464646"/>
          <w:u w:color="464646"/>
        </w:rPr>
        <w:t xml:space="preserve">The Feminism of Charlotte Perkins Gilman: Sexualities, Histories, </w:t>
      </w:r>
      <w:proofErr w:type="gramStart"/>
      <w:r w:rsidRPr="00727650">
        <w:rPr>
          <w:rFonts w:ascii="Garamond" w:hAnsi="Garamond" w:cs="Arial"/>
          <w:i/>
          <w:iCs/>
          <w:color w:val="464646"/>
          <w:u w:color="464646"/>
        </w:rPr>
        <w:t>Progressivism</w:t>
      </w:r>
      <w:proofErr w:type="gramEnd"/>
      <w:r w:rsidRPr="00727650">
        <w:rPr>
          <w:rFonts w:ascii="Garamond" w:hAnsi="Garamond" w:cs="Arial"/>
          <w:i/>
          <w:iCs/>
          <w:color w:val="464646"/>
          <w:u w:color="464646"/>
        </w:rPr>
        <w:t xml:space="preserve"> </w:t>
      </w:r>
      <w:r w:rsidRPr="00727650">
        <w:rPr>
          <w:rFonts w:ascii="Garamond" w:hAnsi="Garamond" w:cs="Arial"/>
          <w:color w:val="464646"/>
          <w:u w:color="464646"/>
        </w:rPr>
        <w:t>(Chicago: University of Chicago Press, 2009)</w:t>
      </w:r>
      <w:r>
        <w:rPr>
          <w:rFonts w:ascii="Garamond" w:hAnsi="Garamond" w:cs="Arial"/>
          <w:color w:val="464646"/>
          <w:u w:color="464646"/>
        </w:rPr>
        <w:t>.</w:t>
      </w:r>
    </w:p>
    <w:p w:rsidR="008418C5" w:rsidRPr="00727650" w:rsidRDefault="00727650" w:rsidP="00727650">
      <w:pPr>
        <w:ind w:left="450" w:hanging="450"/>
        <w:rPr>
          <w:rFonts w:ascii="Garamond" w:hAnsi="Garamond"/>
        </w:rPr>
      </w:pPr>
      <w:r w:rsidRPr="00727650">
        <w:rPr>
          <w:rFonts w:ascii="Garamond" w:hAnsi="Garamond" w:cs="Arial"/>
          <w:color w:val="464646"/>
          <w:u w:color="464646"/>
        </w:rPr>
        <w:t xml:space="preserve">J Oppenheim, </w:t>
      </w:r>
      <w:r w:rsidRPr="00727650">
        <w:rPr>
          <w:rFonts w:ascii="Garamond" w:hAnsi="Garamond" w:cs="Arial"/>
          <w:i/>
          <w:iCs/>
          <w:color w:val="464646"/>
          <w:u w:color="464646"/>
        </w:rPr>
        <w:t>‘Shattered Nerves’: Doctors, Patients, and Depression in Victorian England</w:t>
      </w:r>
      <w:r w:rsidRPr="00727650">
        <w:rPr>
          <w:rFonts w:ascii="Garamond" w:hAnsi="Garamond" w:cs="Arial"/>
          <w:color w:val="464646"/>
          <w:u w:color="464646"/>
        </w:rPr>
        <w:t xml:space="preserve"> (Oxford: Oxford University Press, 1991)</w:t>
      </w:r>
      <w:r>
        <w:rPr>
          <w:rFonts w:ascii="Garamond" w:hAnsi="Garamond" w:cs="Arial"/>
          <w:color w:val="464646"/>
          <w:u w:color="464646"/>
        </w:rPr>
        <w:t>.</w:t>
      </w:r>
    </w:p>
    <w:sectPr w:rsidR="008418C5" w:rsidRPr="00727650" w:rsidSect="008418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50"/>
    <w:rsid w:val="00727650"/>
    <w:rsid w:val="00841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6A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6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6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6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6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roughttolife.sciencemuseum.org.uk/broughttolife/techniques/~/link.aspx?_id=A69402D02CA8453CB4D51C26DA760C9D&amp;_z=z" TargetMode="External"/><Relationship Id="rId12" Type="http://schemas.openxmlformats.org/officeDocument/2006/relationships/hyperlink" Target="http://broughttolife.sciencemuseum.org.uk/broughttolife/techniques/~/link.aspx?_id=8357F06542C94031B8A152D674C87D14&amp;_z=z"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images.wellcome.ac.uk/" TargetMode="External"/><Relationship Id="rId8" Type="http://schemas.openxmlformats.org/officeDocument/2006/relationships/hyperlink" Target="http://broughttolife.sciencemuseum.org.uk/broughttolife/techniques/~/link.aspx?_id=D300E3E638A847DBBDA462366A03D41A&amp;_z=z" TargetMode="External"/><Relationship Id="rId9" Type="http://schemas.openxmlformats.org/officeDocument/2006/relationships/hyperlink" Target="http://broughttolife.sciencemuseum.org.uk/broughttolife/techniques/~/link.aspx?_id=34D89E4E2DC1482886B4ABD4DF7665EA&amp;_z=z" TargetMode="External"/><Relationship Id="rId10" Type="http://schemas.openxmlformats.org/officeDocument/2006/relationships/hyperlink" Target="http://broughttolife.sciencemuseum.org.uk/broughttolife/techniques/~/link.aspx?_id=4A14D38C7A9D4911BFF3189417B56EE1&amp;_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2341</Characters>
  <Application>Microsoft Macintosh Word</Application>
  <DocSecurity>0</DocSecurity>
  <Lines>19</Lines>
  <Paragraphs>5</Paragraphs>
  <ScaleCrop>false</ScaleCrop>
  <Company>Buford City Schools</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1</cp:revision>
  <cp:lastPrinted>2019-01-24T00:01:00Z</cp:lastPrinted>
  <dcterms:created xsi:type="dcterms:W3CDTF">2019-01-23T23:56:00Z</dcterms:created>
  <dcterms:modified xsi:type="dcterms:W3CDTF">2019-01-24T00:01:00Z</dcterms:modified>
</cp:coreProperties>
</file>