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282"/>
          <w:tab w:val="left" w:pos="6347"/>
        </w:tabs>
        <w:jc w:val="center"/>
        <w:rPr>
          <w:b/>
          <w:sz w:val="40"/>
          <w:szCs w:val="40"/>
        </w:rPr>
      </w:pPr>
      <w:bookmarkStart w:id="0" w:name="_3jx9pgeyocyk" w:colFirst="0" w:colLast="0"/>
      <w:bookmarkStart w:id="1" w:name="_GoBack"/>
      <w:bookmarkEnd w:id="0"/>
      <w:bookmarkEnd w:id="1"/>
    </w:p>
    <w:p w:rsidR="00D35BDC" w:rsidRDefault="00CC69D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282"/>
          <w:tab w:val="left" w:pos="63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Buford High School  </w:t>
      </w:r>
    </w:p>
    <w:p w:rsidR="00D35BDC" w:rsidRDefault="00CC69D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b/>
          <w:smallCaps/>
          <w:sz w:val="28"/>
          <w:szCs w:val="28"/>
        </w:rPr>
        <w:t>High School Course Syllabus</w:t>
      </w: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</w:rPr>
      </w:pPr>
    </w:p>
    <w:p w:rsidR="00D35BDC" w:rsidRDefault="00CC69D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520"/>
          <w:tab w:val="left" w:pos="5940"/>
          <w:tab w:val="left" w:pos="8100"/>
        </w:tabs>
        <w:ind w:left="720" w:hanging="720"/>
        <w:rPr>
          <w:b/>
          <w:sz w:val="20"/>
          <w:szCs w:val="20"/>
        </w:rPr>
      </w:pPr>
      <w:r>
        <w:rPr>
          <w:b/>
          <w:smallCaps/>
        </w:rPr>
        <w:tab/>
        <w:t>Course Title</w:t>
      </w:r>
      <w:r>
        <w:rPr>
          <w:smallCaps/>
        </w:rPr>
        <w:tab/>
      </w:r>
      <w:r>
        <w:rPr>
          <w:b/>
          <w:smallCaps/>
        </w:rPr>
        <w:t>English  3,</w:t>
      </w:r>
      <w:r>
        <w:rPr>
          <w:smallCaps/>
        </w:rPr>
        <w:t xml:space="preserve"> </w:t>
      </w:r>
      <w:r>
        <w:rPr>
          <w:b/>
        </w:rPr>
        <w:t>11</w:t>
      </w:r>
      <w:r>
        <w:rPr>
          <w:b/>
          <w:vertAlign w:val="superscript"/>
        </w:rPr>
        <w:t>th</w:t>
      </w:r>
      <w:r>
        <w:rPr>
          <w:b/>
        </w:rPr>
        <w:t xml:space="preserve"> American Literature         </w:t>
      </w:r>
      <w:r>
        <w:rPr>
          <w:b/>
          <w:smallCaps/>
        </w:rPr>
        <w:t>Term</w:t>
      </w:r>
      <w:r>
        <w:rPr>
          <w:smallCaps/>
        </w:rPr>
        <w:tab/>
      </w:r>
      <w:r>
        <w:rPr>
          <w:b/>
        </w:rPr>
        <w:t>Fall 201</w:t>
      </w:r>
      <w:r>
        <w:rPr>
          <w:b/>
        </w:rPr>
        <w:t xml:space="preserve">8.      </w:t>
      </w:r>
      <w:r>
        <w:rPr>
          <w:b/>
          <w:smallCaps/>
        </w:rPr>
        <w:t>Teacher</w:t>
      </w:r>
      <w:r>
        <w:rPr>
          <w:b/>
          <w:smallCaps/>
        </w:rPr>
        <w:t>s</w:t>
      </w:r>
      <w:r>
        <w:tab/>
      </w:r>
      <w:r>
        <w:rPr>
          <w:b/>
        </w:rPr>
        <w:t>Shannon McClure</w:t>
      </w:r>
      <w:r>
        <w:rPr>
          <w:b/>
        </w:rPr>
        <w:t>, Julie Dills,</w:t>
      </w:r>
      <w:r>
        <w:rPr>
          <w:rFonts w:ascii="Arial" w:eastAsia="Arial" w:hAnsi="Arial" w:cs="Arial"/>
          <w:b/>
        </w:rPr>
        <w:tab/>
        <w:t xml:space="preserve">             </w:t>
      </w:r>
      <w:r>
        <w:rPr>
          <w:b/>
          <w:smallCaps/>
        </w:rPr>
        <w:t xml:space="preserve">rooms </w:t>
      </w:r>
      <w:r>
        <w:rPr>
          <w:b/>
          <w:smallCaps/>
          <w:sz w:val="20"/>
          <w:szCs w:val="20"/>
        </w:rPr>
        <w:t>#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 xml:space="preserve"> / 11</w:t>
      </w: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/ 111</w:t>
      </w:r>
      <w:r>
        <w:rPr>
          <w:b/>
          <w:sz w:val="20"/>
          <w:szCs w:val="20"/>
        </w:rPr>
        <w:t xml:space="preserve"> / 106 / 6306</w:t>
      </w:r>
    </w:p>
    <w:p w:rsidR="00D35BDC" w:rsidRDefault="00CC69D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520"/>
          <w:tab w:val="left" w:pos="5940"/>
          <w:tab w:val="left" w:pos="8100"/>
        </w:tabs>
        <w:ind w:left="720" w:hanging="720"/>
        <w:rPr>
          <w:b/>
        </w:rPr>
      </w:pPr>
      <w:r>
        <w:rPr>
          <w:b/>
        </w:rPr>
        <w:tab/>
      </w:r>
      <w:r>
        <w:rPr>
          <w:b/>
        </w:rPr>
        <w:t xml:space="preserve">                              Amy Lister, Brooke Heindel</w:t>
      </w:r>
      <w:r>
        <w:rPr>
          <w:b/>
        </w:rPr>
        <w:t>, Dr. Beach</w:t>
      </w: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5"/>
          <w:szCs w:val="15"/>
        </w:rPr>
      </w:pPr>
    </w:p>
    <w:tbl>
      <w:tblPr>
        <w:tblStyle w:val="a"/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010"/>
      </w:tblGrid>
      <w:tr w:rsidR="00D35BDC">
        <w:tc>
          <w:tcPr>
            <w:tcW w:w="2160" w:type="dxa"/>
            <w:vAlign w:val="center"/>
          </w:tcPr>
          <w:p w:rsidR="00D35BDC" w:rsidRDefault="00CC69DB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 Address</w:t>
            </w:r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Web Page</w:t>
            </w:r>
          </w:p>
        </w:tc>
        <w:tc>
          <w:tcPr>
            <w:tcW w:w="8010" w:type="dxa"/>
            <w:vAlign w:val="center"/>
          </w:tcPr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0"/>
                <w:szCs w:val="20"/>
                <w:u w:val="single"/>
              </w:rPr>
            </w:pP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shannon.mcclure@bufordcityschools.org</w:t>
              </w:r>
            </w:hyperlink>
            <w:r>
              <w:rPr>
                <w:sz w:val="20"/>
                <w:szCs w:val="20"/>
              </w:rPr>
              <w:t xml:space="preserve">                               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http://bhs</w:t>
              </w:r>
            </w:hyperlink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mcclure</w:t>
              </w:r>
            </w:hyperlink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.weebly.com</w:t>
              </w:r>
            </w:hyperlink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10">
              <w:r>
                <w:rPr>
                  <w:color w:val="0000FF"/>
                  <w:sz w:val="20"/>
                  <w:szCs w:val="20"/>
                  <w:u w:val="single"/>
                </w:rPr>
                <w:t>julie.dills@bufordcityschoo</w:t>
              </w:r>
              <w:r>
                <w:rPr>
                  <w:color w:val="0000FF"/>
                  <w:sz w:val="20"/>
                  <w:szCs w:val="20"/>
                  <w:u w:val="single"/>
                </w:rPr>
                <w:t>ls.org</w:t>
              </w:r>
            </w:hyperlink>
            <w:r>
              <w:rPr>
                <w:sz w:val="20"/>
                <w:szCs w:val="20"/>
              </w:rPr>
              <w:t xml:space="preserve">                                            </w:t>
            </w:r>
            <w:hyperlink r:id="rId11">
              <w:r>
                <w:rPr>
                  <w:color w:val="0000FF"/>
                  <w:sz w:val="20"/>
                  <w:szCs w:val="20"/>
                  <w:u w:val="single"/>
                </w:rPr>
                <w:t>http://bhsdills.weebly.com</w:t>
              </w:r>
            </w:hyperlink>
            <w:r>
              <w:fldChar w:fldCharType="begin"/>
            </w:r>
            <w:r>
              <w:instrText xml:space="preserve"> HYPERLINK "http://bhsdills.weebly.com" </w:instrText>
            </w:r>
            <w:r>
              <w:fldChar w:fldCharType="separate"/>
            </w:r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fldChar w:fldCharType="end"/>
            </w:r>
            <w:hyperlink r:id="rId12">
              <w:r>
                <w:rPr>
                  <w:color w:val="0000FF"/>
                  <w:sz w:val="20"/>
                  <w:szCs w:val="20"/>
                  <w:u w:val="single"/>
                </w:rPr>
                <w:t>amy.lister@bufordcityschools.or</w:t>
              </w:r>
              <w:r>
                <w:rPr>
                  <w:color w:val="0000FF"/>
                  <w:sz w:val="20"/>
                  <w:szCs w:val="20"/>
                  <w:u w:val="single"/>
                </w:rPr>
                <w:t>g</w:t>
              </w:r>
            </w:hyperlink>
            <w:r>
              <w:rPr>
                <w:sz w:val="20"/>
                <w:szCs w:val="20"/>
              </w:rPr>
              <w:t xml:space="preserve">                                           </w:t>
            </w:r>
            <w:hyperlink r:id="rId13">
              <w:r>
                <w:rPr>
                  <w:color w:val="0000FF"/>
                  <w:sz w:val="20"/>
                  <w:szCs w:val="20"/>
                  <w:u w:val="single"/>
                </w:rPr>
                <w:t>http://bhslister.weebly.com</w:t>
              </w:r>
            </w:hyperlink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brooke.heindel@bufordcityschools.org</w:t>
              </w:r>
            </w:hyperlink>
            <w:r>
              <w:rPr>
                <w:sz w:val="20"/>
                <w:szCs w:val="20"/>
              </w:rPr>
              <w:t xml:space="preserve">                                   </w:t>
            </w: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http://bhsheindel.weebly.com</w:t>
              </w:r>
            </w:hyperlink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0"/>
                <w:szCs w:val="20"/>
                <w:u w:val="single"/>
              </w:rPr>
            </w:pP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crystal.beach@bufordcityschools.org</w:t>
              </w:r>
            </w:hyperlink>
            <w:r>
              <w:t xml:space="preserve">                              </w:t>
            </w:r>
            <w:r>
              <w:rPr>
                <w:sz w:val="20"/>
                <w:szCs w:val="20"/>
              </w:rPr>
              <w:t xml:space="preserve">  </w:t>
            </w: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http:/</w:t>
              </w:r>
              <w:r>
                <w:rPr>
                  <w:color w:val="1155CC"/>
                  <w:sz w:val="20"/>
                  <w:szCs w:val="20"/>
                  <w:u w:val="single"/>
                </w:rPr>
                <w:t>/bhsbeach.weebly.com</w:t>
              </w:r>
            </w:hyperlink>
            <w:r>
              <w:fldChar w:fldCharType="begin"/>
            </w:r>
            <w:r>
              <w:instrText xml:space="preserve"> HYPERLINK "http://bhslister.weebly.com" </w:instrText>
            </w:r>
            <w:r>
              <w:fldChar w:fldCharType="separate"/>
            </w:r>
          </w:p>
        </w:tc>
      </w:tr>
      <w:tr w:rsidR="00D35BDC">
        <w:tc>
          <w:tcPr>
            <w:tcW w:w="2160" w:type="dxa"/>
            <w:vAlign w:val="center"/>
          </w:tcPr>
          <w:p w:rsidR="00D35BDC" w:rsidRDefault="00CC69DB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fldChar w:fldCharType="end"/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T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eacher Support</w:t>
            </w:r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(Help sessions etc.)</w:t>
            </w:r>
          </w:p>
        </w:tc>
        <w:tc>
          <w:tcPr>
            <w:tcW w:w="8010" w:type="dxa"/>
            <w:vAlign w:val="center"/>
          </w:tcPr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Help sessions are available before school (T &amp; TH </w:t>
            </w:r>
            <w:r>
              <w:rPr>
                <w:sz w:val="18"/>
                <w:szCs w:val="18"/>
              </w:rPr>
              <w:t>7:10</w:t>
            </w:r>
            <w:r>
              <w:rPr>
                <w:sz w:val="18"/>
                <w:szCs w:val="18"/>
              </w:rPr>
              <w:t xml:space="preserve"> am – 7:40 am) and after school                               (M </w:t>
            </w:r>
            <w:r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W 2:40</w:t>
            </w:r>
            <w:r>
              <w:rPr>
                <w:sz w:val="18"/>
                <w:szCs w:val="18"/>
              </w:rPr>
              <w:t xml:space="preserve"> pm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3:30</w:t>
            </w:r>
            <w:r>
              <w:rPr>
                <w:sz w:val="18"/>
                <w:szCs w:val="18"/>
              </w:rPr>
              <w:t xml:space="preserve"> pm).</w:t>
            </w:r>
          </w:p>
        </w:tc>
      </w:tr>
    </w:tbl>
    <w:p w:rsidR="00D35BDC" w:rsidRDefault="00CC69DB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Times New Roman" w:eastAsia="Times New Roman" w:hAnsi="Times New Roman" w:cs="Times New Roman"/>
          <w:b w:val="0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Course Description </w:t>
      </w:r>
    </w:p>
    <w:p w:rsidR="00D35BDC" w:rsidRDefault="00CC69DB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sz w:val="22"/>
          <w:szCs w:val="22"/>
        </w:rPr>
        <w:t xml:space="preserve">English 3 is a study of American Literature. Students will read, discuss, and analyze </w:t>
      </w:r>
      <w:r>
        <w:rPr>
          <w:sz w:val="22"/>
          <w:szCs w:val="22"/>
        </w:rPr>
        <w:t>texts</w:t>
      </w:r>
      <w:r>
        <w:rPr>
          <w:sz w:val="22"/>
          <w:szCs w:val="22"/>
        </w:rPr>
        <w:t xml:space="preserve"> beginning with early forms of communication and continuing through the literature of the </w:t>
      </w:r>
      <w:r>
        <w:rPr>
          <w:sz w:val="22"/>
          <w:szCs w:val="22"/>
        </w:rPr>
        <w:t>P</w:t>
      </w:r>
      <w:r>
        <w:rPr>
          <w:sz w:val="22"/>
          <w:szCs w:val="22"/>
        </w:rPr>
        <w:t>ost</w:t>
      </w:r>
      <w:r>
        <w:rPr>
          <w:sz w:val="22"/>
          <w:szCs w:val="22"/>
        </w:rPr>
        <w:t>m</w:t>
      </w:r>
      <w:r>
        <w:rPr>
          <w:sz w:val="22"/>
          <w:szCs w:val="22"/>
        </w:rPr>
        <w:t>odern period. In addition to literary study, vocabulary, writing, grammar and usage, speaking, listening, and critical thinking are essential components of the c</w:t>
      </w:r>
      <w:r>
        <w:rPr>
          <w:sz w:val="22"/>
          <w:szCs w:val="22"/>
        </w:rPr>
        <w:t>ourse. Course activities will also attempt to prepare students for the following standardized tests: the PSAT, the American Literature End-of-Course Milestone Test, and the SAT. Teachers of American Literature and US History will also collaborate to maximi</w:t>
      </w:r>
      <w:r>
        <w:rPr>
          <w:sz w:val="22"/>
          <w:szCs w:val="22"/>
        </w:rPr>
        <w:t>ze the relevance of the two courses for the students.</w:t>
      </w:r>
    </w:p>
    <w:p w:rsidR="00D35BDC" w:rsidRDefault="00CC69DB">
      <w:pPr>
        <w:pStyle w:val="Heading3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Course Curriculum Content</w:t>
      </w:r>
    </w:p>
    <w:p w:rsidR="00D35BDC" w:rsidRDefault="00CC69D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546"/>
          <w:tab w:val="left" w:pos="6641"/>
        </w:tabs>
        <w:rPr>
          <w:sz w:val="18"/>
          <w:szCs w:val="18"/>
        </w:rPr>
      </w:pPr>
      <w:r>
        <w:rPr>
          <w:sz w:val="18"/>
          <w:szCs w:val="18"/>
        </w:rPr>
        <w:t>The Georgia Performance Standards for this course can be accessed online at georgiastandards.org.</w:t>
      </w: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546"/>
          <w:tab w:val="left" w:pos="6641"/>
        </w:tabs>
        <w:rPr>
          <w:b/>
          <w:i/>
          <w:color w:val="993366"/>
          <w:sz w:val="18"/>
          <w:szCs w:val="18"/>
        </w:rPr>
      </w:pPr>
    </w:p>
    <w:tbl>
      <w:tblPr>
        <w:tblStyle w:val="a0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8"/>
        <w:gridCol w:w="5148"/>
      </w:tblGrid>
      <w:tr w:rsidR="00D35BDC">
        <w:tc>
          <w:tcPr>
            <w:tcW w:w="5148" w:type="dxa"/>
            <w:vAlign w:val="center"/>
          </w:tcPr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>
              <w:rPr>
                <w:b/>
                <w:smallCaps/>
              </w:rPr>
              <w:t>Georgia performance standards</w:t>
            </w:r>
          </w:p>
        </w:tc>
        <w:tc>
          <w:tcPr>
            <w:tcW w:w="5148" w:type="dxa"/>
            <w:vAlign w:val="center"/>
          </w:tcPr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>
              <w:rPr>
                <w:b/>
                <w:smallCaps/>
              </w:rPr>
              <w:t>Units/Topics</w:t>
            </w:r>
          </w:p>
        </w:tc>
      </w:tr>
      <w:tr w:rsidR="00D35BDC">
        <w:tc>
          <w:tcPr>
            <w:tcW w:w="5148" w:type="dxa"/>
          </w:tcPr>
          <w:p w:rsidR="00D35BDC" w:rsidRDefault="00CC69DB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ELAGSE11-RL 1-10 </w:t>
            </w:r>
          </w:p>
          <w:p w:rsidR="00D35BDC" w:rsidRDefault="00CC69DB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ELAGSE11-RI 1-10</w:t>
            </w:r>
          </w:p>
          <w:p w:rsidR="00D35BDC" w:rsidRDefault="00CC69DB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ELAGSE11-W 1-10</w:t>
            </w:r>
          </w:p>
          <w:p w:rsidR="00D35BDC" w:rsidRDefault="00CC69DB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ELAGSE11-SL 1-6</w:t>
            </w:r>
          </w:p>
          <w:p w:rsidR="00D35BDC" w:rsidRDefault="00D35BD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D35BDC" w:rsidRDefault="00CC69DB">
            <w:pPr>
              <w:pStyle w:val="normal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(Georgia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Standards for Excellence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can be accessed online at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https://www.georgiastandards.org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D35BDC" w:rsidRDefault="00D35BD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D35BDC" w:rsidRDefault="00CC69DB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American/Puritanism</w:t>
            </w:r>
          </w:p>
          <w:p w:rsidR="00D35BDC" w:rsidRDefault="00CC69DB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Based Argumentative Writing</w:t>
            </w:r>
          </w:p>
          <w:p w:rsidR="00D35BDC" w:rsidRDefault="00CC69DB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Revolutionary Period</w:t>
            </w:r>
          </w:p>
          <w:p w:rsidR="00D35BDC" w:rsidRDefault="00CC69DB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Romanticism</w:t>
            </w:r>
          </w:p>
          <w:p w:rsidR="00D35BDC" w:rsidRDefault="00CC69DB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Realism</w:t>
            </w:r>
          </w:p>
          <w:p w:rsidR="00D35BDC" w:rsidRDefault="00CC69DB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Modernism</w:t>
            </w:r>
          </w:p>
          <w:p w:rsidR="00D35BDC" w:rsidRDefault="00CC69DB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Harlem Renaissance</w:t>
            </w:r>
          </w:p>
          <w:p w:rsidR="00D35BDC" w:rsidRDefault="00CC69DB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Process</w:t>
            </w:r>
          </w:p>
          <w:p w:rsidR="00D35BDC" w:rsidRDefault="00CC69DB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odern Literature</w:t>
            </w:r>
          </w:p>
          <w:p w:rsidR="00D35BDC" w:rsidRDefault="00CC69DB">
            <w:pPr>
              <w:pStyle w:val="normal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Paper</w:t>
            </w:r>
          </w:p>
        </w:tc>
      </w:tr>
    </w:tbl>
    <w:p w:rsidR="00D35BDC" w:rsidRDefault="00CC69DB">
      <w:pPr>
        <w:pStyle w:val="Heading3"/>
        <w:pBdr>
          <w:top w:val="nil"/>
          <w:left w:val="nil"/>
          <w:bottom w:val="nil"/>
          <w:right w:val="nil"/>
          <w:between w:val="nil"/>
        </w:pBdr>
        <w:spacing w:before="180" w:after="0"/>
        <w:rPr>
          <w:rFonts w:ascii="Times New Roman" w:eastAsia="Times New Roman" w:hAnsi="Times New Roman" w:cs="Times New Roman"/>
          <w:b w:val="0"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Instructional Materials and Supplies</w:t>
      </w:r>
    </w:p>
    <w:tbl>
      <w:tblPr>
        <w:tblStyle w:val="a1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8"/>
        <w:gridCol w:w="5148"/>
      </w:tblGrid>
      <w:tr w:rsidR="00D35BDC">
        <w:tc>
          <w:tcPr>
            <w:tcW w:w="5148" w:type="dxa"/>
            <w:vAlign w:val="center"/>
          </w:tcPr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6"/>
                <w:tab w:val="left" w:pos="66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 Materials</w:t>
            </w:r>
          </w:p>
        </w:tc>
        <w:tc>
          <w:tcPr>
            <w:tcW w:w="5148" w:type="dxa"/>
            <w:vAlign w:val="center"/>
          </w:tcPr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6"/>
                <w:tab w:val="left" w:pos="66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Supplies</w:t>
            </w:r>
          </w:p>
        </w:tc>
      </w:tr>
      <w:tr w:rsidR="00D35BDC">
        <w:tc>
          <w:tcPr>
            <w:tcW w:w="5148" w:type="dxa"/>
          </w:tcPr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McDougal-Litt</w:t>
            </w:r>
            <w:r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Literature Grade 11</w:t>
            </w:r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“The Crucible” Arthur Miller</w:t>
            </w:r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Narrative of the Life of Frederick Douglas</w:t>
            </w:r>
            <w:r>
              <w:rPr>
                <w:sz w:val="20"/>
                <w:szCs w:val="20"/>
              </w:rPr>
              <w:t xml:space="preserve">, </w:t>
            </w:r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Frederick Douglas</w:t>
            </w:r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>
              <w:rPr>
                <w:i/>
                <w:sz w:val="20"/>
                <w:szCs w:val="20"/>
              </w:rPr>
              <w:t xml:space="preserve"> Great Gatsby</w:t>
            </w:r>
            <w:r>
              <w:rPr>
                <w:sz w:val="20"/>
                <w:szCs w:val="20"/>
              </w:rPr>
              <w:t>, F. Scott Fitzgerald</w:t>
            </w:r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Of Mice and Men, </w:t>
            </w:r>
            <w:r>
              <w:rPr>
                <w:sz w:val="20"/>
                <w:szCs w:val="20"/>
              </w:rPr>
              <w:t>John Steinbeck</w:t>
            </w:r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Raisin in the Sun</w:t>
            </w:r>
            <w:r>
              <w:rPr>
                <w:sz w:val="20"/>
                <w:szCs w:val="20"/>
              </w:rPr>
              <w:t>, Lorraine Hansberry</w:t>
            </w:r>
          </w:p>
          <w:p w:rsidR="00D35BDC" w:rsidRDefault="00D35BD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D35BDC" w:rsidRDefault="00CC69DB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/>
              <w:ind w:left="86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 (blue or black) and Pencil</w:t>
            </w:r>
          </w:p>
          <w:p w:rsidR="00D35BDC" w:rsidRDefault="00CC69DB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ind w:left="9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Three-Ring Binder and Dividers</w:t>
            </w:r>
          </w:p>
          <w:p w:rsidR="00D35BDC" w:rsidRDefault="00CC69DB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ind w:left="9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 Leaf  Notebook Paper</w:t>
            </w:r>
          </w:p>
          <w:p w:rsidR="00D35BDC" w:rsidRDefault="00D35BD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ind w:left="90"/>
              <w:rPr>
                <w:sz w:val="20"/>
                <w:szCs w:val="20"/>
              </w:rPr>
            </w:pPr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*Though not required, it is recommended that students purchase their own copies of the novels listed to the left.</w:t>
            </w:r>
          </w:p>
          <w:p w:rsidR="00D35BDC" w:rsidRDefault="00D35BD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60"/>
              <w:ind w:left="86"/>
              <w:rPr>
                <w:sz w:val="20"/>
                <w:szCs w:val="20"/>
              </w:rPr>
            </w:pPr>
          </w:p>
        </w:tc>
      </w:tr>
    </w:tbl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80"/>
        <w:rPr>
          <w:b/>
          <w:smallCaps/>
        </w:rPr>
      </w:pP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80"/>
        <w:rPr>
          <w:b/>
          <w:smallCaps/>
        </w:rPr>
      </w:pPr>
    </w:p>
    <w:p w:rsidR="00D35BDC" w:rsidRDefault="00CC69D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80"/>
        <w:rPr>
          <w:b/>
        </w:rPr>
      </w:pPr>
      <w:r>
        <w:rPr>
          <w:b/>
          <w:smallCaps/>
        </w:rPr>
        <w:t>Evaluation and Grading</w:t>
      </w:r>
    </w:p>
    <w:tbl>
      <w:tblPr>
        <w:tblStyle w:val="a2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7"/>
        <w:gridCol w:w="3187"/>
        <w:gridCol w:w="3472"/>
      </w:tblGrid>
      <w:tr w:rsidR="00D35BDC">
        <w:tc>
          <w:tcPr>
            <w:tcW w:w="3637" w:type="dxa"/>
            <w:vAlign w:val="center"/>
          </w:tcPr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Assignments</w:t>
            </w:r>
          </w:p>
        </w:tc>
        <w:tc>
          <w:tcPr>
            <w:tcW w:w="3187" w:type="dxa"/>
            <w:vAlign w:val="center"/>
          </w:tcPr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Grading Scale</w:t>
            </w:r>
          </w:p>
        </w:tc>
      </w:tr>
      <w:tr w:rsidR="00D35BDC">
        <w:tc>
          <w:tcPr>
            <w:tcW w:w="3637" w:type="dxa"/>
          </w:tcPr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Classwork &amp; Homework</w:t>
            </w:r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(In-Class, Research, &amp; Minor   </w:t>
            </w:r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Writings) </w:t>
            </w:r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Tests/Assessments</w:t>
            </w:r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Quizzes</w:t>
            </w:r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</w:tc>
        <w:tc>
          <w:tcPr>
            <w:tcW w:w="3187" w:type="dxa"/>
          </w:tcPr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Benchmarks                              30%</w:t>
            </w:r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Tests/Major Assessments         25%</w:t>
            </w:r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                                   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%</w:t>
            </w:r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Quizzes/Daily Grades             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%</w:t>
            </w:r>
          </w:p>
          <w:p w:rsidR="00D35BDC" w:rsidRDefault="00D35BD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3"/>
              </w:tabs>
              <w:rPr>
                <w:sz w:val="20"/>
                <w:szCs w:val="20"/>
              </w:rPr>
            </w:pPr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Assignments may be turned in </w:t>
            </w:r>
            <w:r>
              <w:rPr>
                <w:b/>
                <w:sz w:val="20"/>
                <w:szCs w:val="20"/>
                <w:u w:val="single"/>
              </w:rPr>
              <w:t>one day</w:t>
            </w:r>
            <w:r>
              <w:rPr>
                <w:b/>
                <w:sz w:val="20"/>
                <w:szCs w:val="20"/>
              </w:rPr>
              <w:t xml:space="preserve"> after the announced due date but are worth only 70% of the grade earned. </w:t>
            </w:r>
          </w:p>
        </w:tc>
        <w:tc>
          <w:tcPr>
            <w:tcW w:w="3472" w:type="dxa"/>
          </w:tcPr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90 and above</w:t>
            </w:r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80 - 89</w:t>
            </w:r>
          </w:p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70 - 79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F: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69 or below</w:t>
            </w:r>
          </w:p>
        </w:tc>
      </w:tr>
    </w:tbl>
    <w:p w:rsidR="00D35BDC" w:rsidRDefault="00CC69D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80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Make-Up Work:</w:t>
      </w:r>
    </w:p>
    <w:p w:rsidR="00D35BDC" w:rsidRDefault="00CC69DB">
      <w:pPr>
        <w:pStyle w:val="normal0"/>
        <w:numPr>
          <w:ilvl w:val="0"/>
          <w:numId w:val="5"/>
        </w:numPr>
        <w:spacing w:before="180" w:line="276" w:lineRule="auto"/>
        <w:contextualSpacing/>
        <w:rPr>
          <w:b/>
          <w:smallCaps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0"/>
          <w:szCs w:val="20"/>
        </w:rPr>
        <w:t xml:space="preserve">All pre-assigned work will be due on the day of a student’s return from an absence. </w:t>
      </w:r>
    </w:p>
    <w:p w:rsidR="00D35BDC" w:rsidRDefault="00CC69DB">
      <w:pPr>
        <w:pStyle w:val="normal0"/>
        <w:numPr>
          <w:ilvl w:val="0"/>
          <w:numId w:val="5"/>
        </w:numPr>
        <w:spacing w:before="180" w:line="276" w:lineRule="auto"/>
        <w:contextualSpacing/>
        <w:rPr>
          <w:rFonts w:ascii="Calibri" w:eastAsia="Calibri" w:hAnsi="Calibri" w:cs="Calibri"/>
          <w:b/>
          <w:smallCaps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0"/>
          <w:szCs w:val="20"/>
        </w:rPr>
        <w:t>For assignments which did not have a pre-assigned due date during the time of the student’s absence, students will be given five DAYS To MAKE ARRANGEMENTS. SEE THE AGENDA FOR MORE DETAILS.</w:t>
      </w:r>
    </w:p>
    <w:p w:rsidR="00D35BDC" w:rsidRDefault="00CC69DB">
      <w:pPr>
        <w:pStyle w:val="normal0"/>
        <w:numPr>
          <w:ilvl w:val="0"/>
          <w:numId w:val="5"/>
        </w:numPr>
        <w:spacing w:before="180" w:line="276" w:lineRule="auto"/>
        <w:contextualSpacing/>
        <w:rPr>
          <w:rFonts w:ascii="Calibri" w:eastAsia="Calibri" w:hAnsi="Calibri" w:cs="Calibri"/>
          <w:b/>
          <w:smallCaps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0"/>
          <w:szCs w:val="20"/>
        </w:rPr>
        <w:t>Assignments or tests that are not made up by the specified time rec</w:t>
      </w:r>
      <w:r>
        <w:rPr>
          <w:rFonts w:ascii="Calibri" w:eastAsia="Calibri" w:hAnsi="Calibri" w:cs="Calibri"/>
          <w:b/>
          <w:smallCaps/>
          <w:sz w:val="20"/>
          <w:szCs w:val="20"/>
        </w:rPr>
        <w:t>eive a grade of zero (0).</w:t>
      </w: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80"/>
        <w:rPr>
          <w:b/>
          <w:smallCaps/>
        </w:rPr>
      </w:pP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80"/>
        <w:rPr>
          <w:b/>
          <w:smallCaps/>
        </w:rPr>
      </w:pPr>
    </w:p>
    <w:p w:rsidR="00D35BDC" w:rsidRDefault="00CC69D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80"/>
        <w:rPr>
          <w:b/>
        </w:rPr>
      </w:pPr>
      <w:r>
        <w:rPr>
          <w:b/>
          <w:smallCaps/>
        </w:rPr>
        <w:t>Other Information</w:t>
      </w:r>
    </w:p>
    <w:tbl>
      <w:tblPr>
        <w:tblStyle w:val="a3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4890"/>
      </w:tblGrid>
      <w:tr w:rsidR="00D35BDC">
        <w:tc>
          <w:tcPr>
            <w:tcW w:w="5400" w:type="dxa"/>
          </w:tcPr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Expectations for Academic Success</w:t>
            </w:r>
          </w:p>
        </w:tc>
        <w:tc>
          <w:tcPr>
            <w:tcW w:w="4890" w:type="dxa"/>
          </w:tcPr>
          <w:p w:rsidR="00D35BDC" w:rsidRDefault="00CC69D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Requirements/Resources</w:t>
            </w:r>
          </w:p>
        </w:tc>
      </w:tr>
      <w:tr w:rsidR="00D35BDC">
        <w:tc>
          <w:tcPr>
            <w:tcW w:w="5400" w:type="dxa"/>
          </w:tcPr>
          <w:p w:rsidR="00D35BDC" w:rsidRDefault="00CC69DB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60"/>
              <w:ind w:left="86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daily</w:t>
            </w:r>
          </w:p>
          <w:p w:rsidR="00D35BDC" w:rsidRDefault="00CC69DB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9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questions</w:t>
            </w:r>
          </w:p>
          <w:p w:rsidR="00D35BDC" w:rsidRDefault="00CC69DB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9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constructively as a team member</w:t>
            </w:r>
          </w:p>
          <w:p w:rsidR="00D35BDC" w:rsidRDefault="00CC69DB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9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Proofread written assignments and edit meaningfully</w:t>
            </w:r>
          </w:p>
          <w:p w:rsidR="00D35BDC" w:rsidRDefault="00CC69DB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left="9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multiple sources of information</w:t>
            </w:r>
          </w:p>
          <w:p w:rsidR="00D35BDC" w:rsidRDefault="00CC69DB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after="60"/>
              <w:ind w:left="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 yourself to continuously improve</w:t>
            </w:r>
          </w:p>
        </w:tc>
        <w:tc>
          <w:tcPr>
            <w:tcW w:w="4890" w:type="dxa"/>
          </w:tcPr>
          <w:p w:rsidR="00D35BDC" w:rsidRDefault="00CC69DB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before="60"/>
              <w:ind w:left="72" w:hanging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Tutoring Available</w:t>
            </w:r>
          </w:p>
          <w:p w:rsidR="00D35BDC" w:rsidRDefault="00CC69DB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ind w:left="72" w:hanging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my website frequently</w:t>
            </w:r>
          </w:p>
          <w:p w:rsidR="00D35BDC" w:rsidRDefault="00CC69DB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ind w:left="72" w:hanging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Calendar on website</w:t>
            </w:r>
          </w:p>
          <w:p w:rsidR="00D35BDC" w:rsidRDefault="00CC69DB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ind w:left="72" w:hanging="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Center available (times TBA)</w:t>
            </w:r>
          </w:p>
        </w:tc>
      </w:tr>
    </w:tbl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35BDC" w:rsidRDefault="00CC69D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The syllabus may be updated as needed throughout the semester.</w:t>
      </w: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:rsidR="00D35BDC" w:rsidRDefault="00D35BD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:rsidR="00D35BDC" w:rsidRDefault="00CC69D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lastRenderedPageBreak/>
        <w:drawing>
          <wp:inline distT="0" distB="0" distL="0" distR="0">
            <wp:extent cx="6391275" cy="265271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652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35BDC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802"/>
    <w:multiLevelType w:val="multilevel"/>
    <w:tmpl w:val="83A017FE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C13A2"/>
    <w:multiLevelType w:val="multilevel"/>
    <w:tmpl w:val="C41E6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F2259"/>
    <w:multiLevelType w:val="multilevel"/>
    <w:tmpl w:val="E9B68B5C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01547"/>
    <w:multiLevelType w:val="multilevel"/>
    <w:tmpl w:val="E23003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68CB11CE"/>
    <w:multiLevelType w:val="multilevel"/>
    <w:tmpl w:val="6602B4CE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1423103"/>
    <w:multiLevelType w:val="multilevel"/>
    <w:tmpl w:val="DAB60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14D76C1"/>
    <w:multiLevelType w:val="multilevel"/>
    <w:tmpl w:val="15D61F2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5BDC"/>
    <w:rsid w:val="00CC69DB"/>
    <w:rsid w:val="00D3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after="120"/>
      <w:outlineLvl w:val="3"/>
    </w:pPr>
    <w:rPr>
      <w:rFonts w:ascii="Arial" w:eastAsia="Arial" w:hAnsi="Arial" w:cs="Arial"/>
      <w:b/>
      <w:color w:val="993366"/>
      <w:sz w:val="20"/>
      <w:szCs w:val="20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after="120"/>
      <w:outlineLvl w:val="3"/>
    </w:pPr>
    <w:rPr>
      <w:rFonts w:ascii="Arial" w:eastAsia="Arial" w:hAnsi="Arial" w:cs="Arial"/>
      <w:b/>
      <w:color w:val="993366"/>
      <w:sz w:val="20"/>
      <w:szCs w:val="20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hsbarton.weebly.com" TargetMode="External"/><Relationship Id="rId20" Type="http://schemas.openxmlformats.org/officeDocument/2006/relationships/image" Target="media/image1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julie.dills@bufordcityschools.org" TargetMode="External"/><Relationship Id="rId11" Type="http://schemas.openxmlformats.org/officeDocument/2006/relationships/hyperlink" Target="http://bhsdills.weebly.com" TargetMode="External"/><Relationship Id="rId12" Type="http://schemas.openxmlformats.org/officeDocument/2006/relationships/hyperlink" Target="mailto:amy.lister@bufordcityschools.org" TargetMode="External"/><Relationship Id="rId13" Type="http://schemas.openxmlformats.org/officeDocument/2006/relationships/hyperlink" Target="http://bhslister.weebly.com" TargetMode="External"/><Relationship Id="rId14" Type="http://schemas.openxmlformats.org/officeDocument/2006/relationships/hyperlink" Target="mailto:brooke.heindel@bufordcityschools.org" TargetMode="External"/><Relationship Id="rId15" Type="http://schemas.openxmlformats.org/officeDocument/2006/relationships/hyperlink" Target="https://bhsheindel.weebly.com" TargetMode="External"/><Relationship Id="rId16" Type="http://schemas.openxmlformats.org/officeDocument/2006/relationships/hyperlink" Target="mailto:crystal.beach@bufordcityschools.org" TargetMode="External"/><Relationship Id="rId17" Type="http://schemas.openxmlformats.org/officeDocument/2006/relationships/hyperlink" Target="http://bhsbeach.weebly.com" TargetMode="External"/><Relationship Id="rId18" Type="http://schemas.openxmlformats.org/officeDocument/2006/relationships/hyperlink" Target="http://bhsbeach.weebly.com" TargetMode="External"/><Relationship Id="rId19" Type="http://schemas.openxmlformats.org/officeDocument/2006/relationships/hyperlink" Target="https://www.georgiastandards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hannon.mcclure@bufordcityschools.org" TargetMode="External"/><Relationship Id="rId7" Type="http://schemas.openxmlformats.org/officeDocument/2006/relationships/hyperlink" Target="http://bhsbarton.weebly.com" TargetMode="External"/><Relationship Id="rId8" Type="http://schemas.openxmlformats.org/officeDocument/2006/relationships/hyperlink" Target="http://bhsbarto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4233</Characters>
  <Application>Microsoft Macintosh Word</Application>
  <DocSecurity>0</DocSecurity>
  <Lines>35</Lines>
  <Paragraphs>9</Paragraphs>
  <ScaleCrop>false</ScaleCrop>
  <Company>Buford City Schools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McClure</cp:lastModifiedBy>
  <cp:revision>2</cp:revision>
  <dcterms:created xsi:type="dcterms:W3CDTF">2018-08-02T13:09:00Z</dcterms:created>
  <dcterms:modified xsi:type="dcterms:W3CDTF">2018-08-02T13:09:00Z</dcterms:modified>
</cp:coreProperties>
</file>